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155E0" w14:textId="7011A215" w:rsidR="00FC4C1A" w:rsidRDefault="00527005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005">
        <w:rPr>
          <w:rFonts w:ascii="Times New Roman" w:hAnsi="Times New Roman"/>
          <w:b/>
          <w:sz w:val="24"/>
          <w:szCs w:val="24"/>
        </w:rPr>
        <w:t xml:space="preserve">III.6.1.2A </w:t>
      </w:r>
      <w:r w:rsidR="006D55C1">
        <w:rPr>
          <w:rFonts w:ascii="Times New Roman" w:hAnsi="Times New Roman"/>
          <w:b/>
          <w:sz w:val="24"/>
          <w:szCs w:val="24"/>
        </w:rPr>
        <w:t xml:space="preserve">- </w:t>
      </w:r>
      <w:r w:rsidR="00FC4C1A" w:rsidRPr="006D55C1">
        <w:rPr>
          <w:rFonts w:ascii="Times New Roman" w:hAnsi="Times New Roman"/>
          <w:b/>
          <w:sz w:val="24"/>
          <w:szCs w:val="24"/>
        </w:rPr>
        <w:t xml:space="preserve">Internet </w:t>
      </w:r>
      <w:r w:rsidR="00FC4C1A" w:rsidRPr="00EC3B53">
        <w:rPr>
          <w:rFonts w:ascii="Times New Roman" w:hAnsi="Times New Roman"/>
          <w:i/>
          <w:sz w:val="24"/>
          <w:szCs w:val="24"/>
        </w:rPr>
        <w:t>(pubblicità online)</w:t>
      </w:r>
    </w:p>
    <w:p w14:paraId="0C50F358" w14:textId="77777777" w:rsidR="00ED661B" w:rsidRPr="00EC3B53" w:rsidRDefault="00ED661B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0A4670D0" w14:textId="206FBBB7" w:rsidR="00527005" w:rsidRPr="00E12FD1" w:rsidRDefault="00527005" w:rsidP="00053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Analizzando gli ambiti di regolamentazione da parte</w:t>
      </w:r>
      <w:r w:rsidR="00053B81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="00053B81" w:rsidRPr="00E12FD1">
        <w:rPr>
          <w:rFonts w:ascii="Times New Roman" w:hAnsi="Times New Roman" w:cs="Times New Roman"/>
          <w:bCs/>
          <w:sz w:val="24"/>
          <w:szCs w:val="24"/>
        </w:rPr>
        <w:t>dell’Autorità per le Garanzie nelle Comunicazioni</w:t>
      </w:r>
      <w:r w:rsidR="00053B81" w:rsidRPr="00E12F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="00053B81" w:rsidRPr="00E12FD1">
        <w:rPr>
          <w:rFonts w:ascii="Times New Roman" w:hAnsi="Times New Roman" w:cs="Times New Roman"/>
          <w:bCs/>
          <w:sz w:val="24"/>
          <w:szCs w:val="24"/>
        </w:rPr>
        <w:t>(AGCOM)</w:t>
      </w:r>
      <w:r w:rsidRPr="00E12FD1">
        <w:rPr>
          <w:rFonts w:ascii="Times New Roman" w:hAnsi="Times New Roman" w:cs="Times New Roman"/>
          <w:sz w:val="24"/>
          <w:szCs w:val="24"/>
        </w:rPr>
        <w:t>, nel settore dei servizi digitali, è possibile apprezzare un’accresciuta rilevanza delle piattaforme. Ad essa hanno contribuito</w:t>
      </w:r>
      <w:r w:rsidR="00053B81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molteplici fattori, fra i quali lo sviluppo di infrastrutture di comunicazioni ad alta velocità che, come noto, risultano decisive per assicurare livelli di connettività sempre più elevati ed efficienti.</w:t>
      </w:r>
    </w:p>
    <w:p w14:paraId="3ACF26DC" w14:textId="77777777" w:rsidR="00DE32F6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 xml:space="preserve">La crescita delle piattaforme può innanzitutto essere osservata attraverso l’evoluzione dei ricavi complessivi realizzati da tali operatori nei settori delle comunicazioni. </w:t>
      </w:r>
    </w:p>
    <w:p w14:paraId="7D7C208A" w14:textId="4770508E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Nel dettaglio, considerando i ricavi da inserzioni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pubblicitarie su tutti i mezzi di comunicazione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nel periodo 2018-2022, le piattaforme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hanno registrato un incremento della propria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quota di 20 punti percentuali, raggiungendo un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peso pari a quasi la metà delle risorse.</w:t>
      </w:r>
    </w:p>
    <w:p w14:paraId="3BCF9CB7" w14:textId="7A219DB1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Esaminando invece il complesso dei ricavi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dei media (entrate realizzate sul versante degli inserzionisti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 su quello degli utenti, e risorse pubbliche: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canone, contributi e provvidenze),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l’incidenza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delle piattaforme risulta, nel quinquennio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riferimento, più che raddoppiata. Tale deciso</w:t>
      </w:r>
    </w:p>
    <w:p w14:paraId="38823CE7" w14:textId="77777777" w:rsidR="00080732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incremento è riconducibile principalmente alla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componente pubblicitaria, per la quale si ravvisa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una dinamica di tendenziale concentrazione di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risorse in favore delle piattaforme, a detrimento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degli operatori tradizionali (editori e concessionarie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tradizionali) che, come di seguito specificato,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risulta connessa a una molteplicità di fattori (caratteristiche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economiche, strategie adottate dagli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operatori e complessità dei processi di intermediazione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pubblicitaria). </w:t>
      </w:r>
    </w:p>
    <w:p w14:paraId="6E505B9C" w14:textId="7B4CFA45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Altrettanto determinante,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è la crescita del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peso delle piattaforme nell’offerta dei servizi televisivi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 pagamento sul web.</w:t>
      </w:r>
    </w:p>
    <w:p w14:paraId="589C5CFA" w14:textId="30EB821F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Infine, anche estendendo l’analisi ai ricavi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ottenuti nei servizi postali (in particolare riferibili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al segmento della consegna dei pacchi), l’incidenza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delle piattaforme sui ricavi totali risulta più che</w:t>
      </w:r>
    </w:p>
    <w:p w14:paraId="194A4C16" w14:textId="413C257E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raddoppiata negli ultimi cinque anni. La flessione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strutturale dei servizi postali tradizionali, da un lato,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 la progressiva diffusione degli acquisti online,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dall’altro </w:t>
      </w:r>
      <w:r w:rsidR="00080732" w:rsidRPr="00E12FD1">
        <w:rPr>
          <w:rFonts w:ascii="Times New Roman" w:hAnsi="Times New Roman" w:cs="Times New Roman"/>
          <w:sz w:val="24"/>
          <w:szCs w:val="24"/>
        </w:rPr>
        <w:t>-</w:t>
      </w:r>
      <w:r w:rsidRPr="00E12FD1">
        <w:rPr>
          <w:rFonts w:ascii="Times New Roman" w:hAnsi="Times New Roman" w:cs="Times New Roman"/>
          <w:sz w:val="24"/>
          <w:szCs w:val="24"/>
        </w:rPr>
        <w:t xml:space="preserve"> fenomeni che denotano un processo di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trasformazione dei modelli di produzione e consumo</w:t>
      </w:r>
      <w:r w:rsidR="00080732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già in atto da diversi anni nel settore postale</w:t>
      </w:r>
    </w:p>
    <w:p w14:paraId="1305ABC0" w14:textId="77777777" w:rsidR="00080732" w:rsidRPr="00E12FD1" w:rsidRDefault="00080732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-</w:t>
      </w:r>
      <w:r w:rsidR="00527005" w:rsidRPr="00E12FD1">
        <w:rPr>
          <w:rFonts w:ascii="Times New Roman" w:hAnsi="Times New Roman" w:cs="Times New Roman"/>
          <w:sz w:val="24"/>
          <w:szCs w:val="24"/>
        </w:rPr>
        <w:t xml:space="preserve"> hanno indubbiamente favorito lo sviluppo di</w:t>
      </w:r>
      <w:r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sz w:val="24"/>
          <w:szCs w:val="24"/>
        </w:rPr>
        <w:t>piattaforme globali in grado di stimolare l’offerta</w:t>
      </w:r>
      <w:r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sz w:val="24"/>
          <w:szCs w:val="24"/>
        </w:rPr>
        <w:t xml:space="preserve">di servizi e l’entrata delle stesse in nuovi mercati. </w:t>
      </w:r>
    </w:p>
    <w:p w14:paraId="427950F4" w14:textId="6D457739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Il ruolo assunto dalle piattaforme, sul piano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nazionale e su quello globale, impone una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serie di riflessioni anche sotto il profilo del pluralismo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informativo. Al riguardo, si osserva che i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motori di ricerca, i social network e le piattaforme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di condivisione di video gestiti dai grandi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player</w:t>
      </w:r>
      <w:r w:rsidR="00080732"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globali costituiscono veri e propri </w:t>
      </w:r>
      <w:proofErr w:type="spellStart"/>
      <w:r w:rsidRPr="00E12FD1">
        <w:rPr>
          <w:rFonts w:ascii="Times New Roman" w:hAnsi="Times New Roman" w:cs="Times New Roman"/>
          <w:color w:val="000000"/>
          <w:sz w:val="24"/>
          <w:szCs w:val="24"/>
        </w:rPr>
        <w:t>gatekeeper</w:t>
      </w:r>
      <w:proofErr w:type="spellEnd"/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accesso all’informazione in rete, per i cittadini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 per gli editori online, i cui obiettivi di diffusione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dipendono in maniera rilevante dalle piattaforme.</w:t>
      </w:r>
    </w:p>
    <w:p w14:paraId="58E57C8A" w14:textId="77777777" w:rsidR="00080732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Un sistema così fluido richiede un monitoraggio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continuo e iniziative istituzionali capaci di accrescere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la trasparenza del sistema dell’informazione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online, per contrastare fenomeni quali la disinformazione,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la polarizzazione, l’esposizione selettiva,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l’insorgenza di </w:t>
      </w:r>
      <w:proofErr w:type="spellStart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echo</w:t>
      </w:r>
      <w:proofErr w:type="spellEnd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chamber</w:t>
      </w:r>
      <w:proofErr w:type="spellEnd"/>
      <w:r w:rsidRPr="00E12FD1">
        <w:rPr>
          <w:rFonts w:ascii="Times New Roman" w:hAnsi="Times New Roman" w:cs="Times New Roman"/>
          <w:color w:val="000000"/>
          <w:sz w:val="24"/>
          <w:szCs w:val="24"/>
        </w:rPr>
        <w:t>, e per assicurare una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adeguata tutela ai minori che navigano in rete. </w:t>
      </w:r>
    </w:p>
    <w:p w14:paraId="0C788D43" w14:textId="2E00E6AB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questo scenario si inserisce il dibattito sulla qualità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dell’informazione, la tutela del diritto d’autore 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delle professioni dell’informazione e della divulgazione.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Temi sui quali l’Autorità, alla luce della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normativa europea e in conformità al proprio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mandato, è attualmente impegnata.</w:t>
      </w:r>
    </w:p>
    <w:p w14:paraId="4F1C100E" w14:textId="282DC615" w:rsidR="00527005" w:rsidRPr="00E12FD1" w:rsidRDefault="00080732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121546"/>
          <w:sz w:val="24"/>
          <w:szCs w:val="24"/>
        </w:rPr>
        <w:t xml:space="preserve">Per il </w:t>
      </w:r>
      <w:r w:rsidR="00527005" w:rsidRPr="00E12FD1">
        <w:rPr>
          <w:rFonts w:ascii="Times New Roman" w:hAnsi="Times New Roman" w:cs="Times New Roman"/>
          <w:color w:val="121546"/>
          <w:sz w:val="24"/>
          <w:szCs w:val="24"/>
        </w:rPr>
        <w:t xml:space="preserve">settore pubblicitario e </w:t>
      </w:r>
      <w:r w:rsidRPr="00E12FD1">
        <w:rPr>
          <w:rFonts w:ascii="Times New Roman" w:hAnsi="Times New Roman" w:cs="Times New Roman"/>
          <w:color w:val="121546"/>
          <w:sz w:val="24"/>
          <w:szCs w:val="24"/>
        </w:rPr>
        <w:t>del</w:t>
      </w:r>
      <w:r w:rsidR="00527005" w:rsidRPr="00E12FD1">
        <w:rPr>
          <w:rFonts w:ascii="Times New Roman" w:hAnsi="Times New Roman" w:cs="Times New Roman"/>
          <w:color w:val="121546"/>
          <w:sz w:val="24"/>
          <w:szCs w:val="24"/>
        </w:rPr>
        <w:t>la pubblicità online</w:t>
      </w:r>
      <w:r w:rsidRPr="00E12FD1">
        <w:rPr>
          <w:rFonts w:ascii="Times New Roman" w:hAnsi="Times New Roman" w:cs="Times New Roman"/>
          <w:color w:val="121546"/>
          <w:sz w:val="24"/>
          <w:szCs w:val="24"/>
        </w:rPr>
        <w:t>, l</w:t>
      </w:r>
      <w:r w:rsidR="00527005" w:rsidRPr="00E12FD1">
        <w:rPr>
          <w:rFonts w:ascii="Times New Roman" w:hAnsi="Times New Roman" w:cs="Times New Roman"/>
          <w:color w:val="000000"/>
          <w:sz w:val="24"/>
          <w:szCs w:val="24"/>
        </w:rPr>
        <w:t>’analisi delle entrate pubblicitarie complessive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color w:val="000000"/>
          <w:sz w:val="24"/>
          <w:szCs w:val="24"/>
        </w:rPr>
        <w:t>di tutti i mezzi di comunicazione (radio,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color w:val="000000"/>
          <w:sz w:val="24"/>
          <w:szCs w:val="24"/>
        </w:rPr>
        <w:t>tv, editoria e online) conferma una dinamica, in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color w:val="000000"/>
          <w:sz w:val="24"/>
          <w:szCs w:val="24"/>
        </w:rPr>
        <w:t>atto già da diversi anni: i sempre maggiori investimenti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7005" w:rsidRPr="00E12FD1">
        <w:rPr>
          <w:rFonts w:ascii="Times New Roman" w:hAnsi="Times New Roman" w:cs="Times New Roman"/>
          <w:color w:val="000000"/>
          <w:sz w:val="24"/>
          <w:szCs w:val="24"/>
        </w:rPr>
        <w:t>sulla pubblicità in rete.</w:t>
      </w:r>
    </w:p>
    <w:p w14:paraId="569BD23F" w14:textId="665CF5FA" w:rsidR="00527005" w:rsidRPr="00E12FD1" w:rsidRDefault="00527005" w:rsidP="00080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Ciò assume particolare rilevanza se si considera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che i ricavi da inserzioni pubblicitarie, nel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2022, giungono a rappresentare il 59% del valore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economico complessivamente realizzato attraverso</w:t>
      </w:r>
    </w:p>
    <w:p w14:paraId="00AD3BCC" w14:textId="5C5524D0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i mezzi di comunicazione (tradizionali 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online), comprensivo delle risorse ottenute dal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lato dall’utente per l’acquisto di contenuti e delle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entrate di natura pubblica (canone, convenzioni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 provvidenze pubbliche).</w:t>
      </w:r>
    </w:p>
    <w:p w14:paraId="3BE755B5" w14:textId="77777777" w:rsidR="00080732" w:rsidRPr="00E12FD1" w:rsidRDefault="00527005" w:rsidP="00080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Limitando l’analisi ai ricavi pubblicitari,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si conferma, anche nel 2022, la dinamica di tendenziale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crescita del settore, seppure rallentata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per effetto della crisi sanitaria del 2020. </w:t>
      </w:r>
    </w:p>
    <w:p w14:paraId="5EE94781" w14:textId="11560D2B" w:rsidR="005831D3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lastRenderedPageBreak/>
        <w:t>L’andamento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positivo del prodotto interno lordo derivante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dalla ripresa delle attività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economiche 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produttive nell’ultimo anno, sebbene altalenante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nel corso dei diversi trimestri, ha accresciuto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la propensione da parte delle aziende a investire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 pubblicità, consentendo, pertanto, al settore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recuperare le perdite subite e di attestarsi</w:t>
      </w:r>
      <w:r w:rsidR="00080732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su valori decisamente superiori al 2018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0B74196" w14:textId="2405AAB2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L’andamento del settore va analizzato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considerando il differente contributo delle sue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componenti. Se, da un lato, si osserva una crescita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sostenuta della pubblicità online, che sembra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non aver risentito delle criticità economiche derivanti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dall’emergenza sanitaria e dal conflitto in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Ucraina, dall’altro, la pubblicità attraverso i media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tradizionali mostra un’evoluzione meno lineare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in quanto maggiormente correlata alle fasi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ciclo economico.</w:t>
      </w:r>
    </w:p>
    <w:p w14:paraId="014E6426" w14:textId="1ED68245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Nello specifico, la progressiva ascesa della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pubblicità online (e in particolare delle piattaforme</w:t>
      </w:r>
    </w:p>
    <w:p w14:paraId="6825667B" w14:textId="2781CB84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di intermediazione attive sul piano internazionale)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ha comportato, già da diversi anni, una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graduale contrazione del peso dei media classici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sul valore complessivo dei ricavi pubblicitari. Nel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2022, il divario tra la pubblicità online e la raccolta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degli altri settori si è ulteriormente ampliato.</w:t>
      </w:r>
    </w:p>
    <w:p w14:paraId="1A3A31EB" w14:textId="199EA691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 ricavi da inserzioni pubblicitarie su Internet,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già a partire dal 2019 superano il 40% delle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96493" w14:textId="537269BF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entrate complessive, scardinando il primato storico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della televisione, registrano nell’ultimo anno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un’ulteriore crescita e raggiungono il 58% delle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entrate pubblicitarie totali.</w:t>
      </w:r>
    </w:p>
    <w:p w14:paraId="7D8A5544" w14:textId="77777777" w:rsidR="006F7F3F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L’analisi della composizione della pubblicità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online evidenzia una progressiva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concentrazione delle risorse pubblicitarie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gestite dalle piattaforme. Più precisamente, l’incidenza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delle piattaforme sui ricavi lordi complessivi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-</w:t>
      </w:r>
      <w:r w:rsidRPr="00E12FD1">
        <w:rPr>
          <w:rFonts w:ascii="Times New Roman" w:hAnsi="Times New Roman" w:cs="Times New Roman"/>
          <w:sz w:val="24"/>
          <w:szCs w:val="24"/>
        </w:rPr>
        <w:t xml:space="preserve"> ossia sulla raccolta pubblicitaria gestita e intermediata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ai fini della compravendita di spazi, sia sui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propri siti e applicazioni sia su quelli di soggetti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terzi al lordo della quota retrocessa </w:t>
      </w:r>
      <w:r w:rsidR="005831D3" w:rsidRPr="00E12FD1">
        <w:rPr>
          <w:rFonts w:ascii="Times New Roman" w:hAnsi="Times New Roman" w:cs="Times New Roman"/>
          <w:sz w:val="24"/>
          <w:szCs w:val="24"/>
        </w:rPr>
        <w:t>-</w:t>
      </w:r>
      <w:r w:rsidRPr="00E12FD1">
        <w:rPr>
          <w:rFonts w:ascii="Times New Roman" w:hAnsi="Times New Roman" w:cs="Times New Roman"/>
          <w:sz w:val="24"/>
          <w:szCs w:val="24"/>
        </w:rPr>
        <w:t xml:space="preserve"> cresce progressivamente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fino a raggiungere, nelle stime per il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2022, un valore superiore all’85%. Tale evoluzione,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si contrappone alla graduale erosione dei volumi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di pubblicità intermediati da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publisher </w:t>
      </w:r>
      <w:r w:rsidRPr="00E12FD1">
        <w:rPr>
          <w:rFonts w:ascii="Times New Roman" w:hAnsi="Times New Roman" w:cs="Times New Roman"/>
          <w:sz w:val="24"/>
          <w:szCs w:val="24"/>
        </w:rPr>
        <w:t>e concessionarie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tradizionali, conferma la difficoltà da parte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tali attori nel mantenere adeguati livelli di competitività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rispetto alle piattaforme internazionali. </w:t>
      </w:r>
    </w:p>
    <w:p w14:paraId="090F44CC" w14:textId="6713CC1D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Le ragioni del dominio delle piattaforme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internazionali sono determinate sia dalle caratteristiche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economiche del comparto (presenza di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esternalità di rete dirette, indirette e incrociate,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rendimenti crescenti di scala, ostacoli al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multi-</w:t>
      </w:r>
      <w:proofErr w:type="spellStart"/>
      <w:r w:rsidRPr="00E12FD1">
        <w:rPr>
          <w:rFonts w:ascii="Times New Roman" w:hAnsi="Times New Roman" w:cs="Times New Roman"/>
          <w:i/>
          <w:iCs/>
          <w:sz w:val="24"/>
          <w:szCs w:val="24"/>
        </w:rPr>
        <w:t>homing</w:t>
      </w:r>
      <w:proofErr w:type="spellEnd"/>
      <w:r w:rsidRPr="00E12FD1">
        <w:rPr>
          <w:rFonts w:ascii="Times New Roman" w:hAnsi="Times New Roman" w:cs="Times New Roman"/>
          <w:sz w:val="24"/>
          <w:szCs w:val="24"/>
        </w:rPr>
        <w:t>,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costi di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switching </w:t>
      </w:r>
      <w:r w:rsidRPr="00E12FD1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E12FD1">
        <w:rPr>
          <w:rFonts w:ascii="Times New Roman" w:hAnsi="Times New Roman" w:cs="Times New Roman"/>
          <w:i/>
          <w:iCs/>
          <w:sz w:val="24"/>
          <w:szCs w:val="24"/>
        </w:rPr>
        <w:t>sunk</w:t>
      </w:r>
      <w:proofErr w:type="spellEnd"/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 cost</w:t>
      </w:r>
      <w:r w:rsidRPr="00E12FD1">
        <w:rPr>
          <w:rFonts w:ascii="Times New Roman" w:hAnsi="Times New Roman" w:cs="Times New Roman"/>
          <w:sz w:val="24"/>
          <w:szCs w:val="24"/>
        </w:rPr>
        <w:t>), sia dalle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strategie di integrazione verticale e di differenziazione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orizzontale adottate nel corso degli anni.</w:t>
      </w:r>
    </w:p>
    <w:p w14:paraId="059A1209" w14:textId="3D2BCE3B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Ciò ha consentito di ottenere posizioni di rilievo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sia a monte sia a valle della catena del valore,</w:t>
      </w:r>
    </w:p>
    <w:p w14:paraId="51229C4E" w14:textId="1FAE55E0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e vantaggi economici difficilmente replicabili dai</w:t>
      </w:r>
      <w:r w:rsidR="005831D3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propri concorrenti.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Nel dettaglio, in virtù di tali strategie, le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piattaforme sono attualmente in grado di offrire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numerosi servizi nelle diverse fasi della filiera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produttiva e, quindi, di attrarre, mediante i propri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siti e le proprie applicazioni, quote sempre più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ampie di audience. A ciò si aggiunge la straordinaria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capacità dei grandi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player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internazionali di</w:t>
      </w:r>
    </w:p>
    <w:p w14:paraId="3E8CDA1B" w14:textId="0CFACD67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disporre, raccogliere, conservare e aggregare in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maniera efficiente una grande mole di dati individuali</w:t>
      </w:r>
    </w:p>
    <w:p w14:paraId="0EE98855" w14:textId="325133E1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sugli utenti, nonché di utilizzare sofisticate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tecniche di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big data </w:t>
      </w:r>
      <w:proofErr w:type="spellStart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analysis</w:t>
      </w:r>
      <w:proofErr w:type="spellEnd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per ottenere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un’accurata profilazione degli utenti, che rende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 servizi di intermediazione pubblicitaria offerti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 tali soggetti particolarmente attraenti per gli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investitori.</w:t>
      </w:r>
    </w:p>
    <w:p w14:paraId="633F11BA" w14:textId="07C27D06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Nel corso degli ultimi dieci anni il sistema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negoziazione di spazi pubblicitari online è diventato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sempre più caratterizzato dalla presenza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modelli automatici di compravendita delle inserzioni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 cui il contatto diretto fra inserzionista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publisher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è stato gradualmente sostituito dal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ricorso a piattaforme tecnologiche. Tali modelli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vendita hanno accresciuto la dipendenza del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sistema pubblicitario (e dei suoi attori) dagli intermediari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tecnologici (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ad network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network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affiliazione, motori di ricerca,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social network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FE216A5" w14:textId="63E0E32D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Le piattaforme, oltre a realizzare quote maggioritarie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ricavi in tutti gli stadi della catena del</w:t>
      </w:r>
    </w:p>
    <w:p w14:paraId="5DB9E9D5" w14:textId="0FE732F0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valore della pubblicità online, si avvalgono in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minima parte dei servizi di intermediazione di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terzi operatori. Per contro, 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publisher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 le concessionarie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tradizionali sono presenti con quote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inferiori nella filiera e utilizzano in modo consistente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 servizi di intermediazione delle piattaforme.</w:t>
      </w:r>
    </w:p>
    <w:p w14:paraId="7DFC72C8" w14:textId="624D5BA6" w:rsidR="00527005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Ne deriva che, analogamente a quanto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osservato sul piano globale, nel settore nazionale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della pubblicità online vanno consolidandosi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elevati livelli di concentrazione. La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distribuzione dei ricavi per operatore conferma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la presenza di un limitato numero di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player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internazionali,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con quote di fatturato significative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 in crescita, a fronte di un elevato numero di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altri attori economici (teoria della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lastRenderedPageBreak/>
        <w:t>coda lunga),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che realizzano ricavi decisamente inferiori e tendenzialmente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sempre più distanti da quelli ottenuti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dai primi operatori. Considerando, infatti, i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ricavi lordi da pubblicità online, si conferma la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rilevanza dei soggetti collocati nelle prime tre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posizioni, che rappresentano oltre il 70% del valore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complessivo stimato del mercato. Alphabet/Google e Meta/Facebook mantengono il primato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delle risorse da pubblicità online, con fatturati in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crescita sia con riferimento alle entrate pubblicitarie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lorde (derivanti, come detto, dalle entrate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 inserzioni pubblicitarie sui propri siti e applicazioni,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nonché dall’attività di intermediazione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pubblicitaria condotta per terzi operatori al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lordo della quota retrocessa a questi ultimi), sia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considerando i ricavi netti (ottenuti dalla vendita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spazi propri o di terzi operatori, al netto della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quota retrocessa ai proprietari dei siti o applicazioni).</w:t>
      </w:r>
    </w:p>
    <w:p w14:paraId="2C5177A2" w14:textId="77777777" w:rsidR="005831D3" w:rsidRPr="00E12FD1" w:rsidRDefault="00527005" w:rsidP="00583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Al terzo posto, si conferma la presenza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Amazon con entrate pubblicitarie in deciso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aumento anche nel 2022.</w:t>
      </w:r>
      <w:r w:rsidR="005831D3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CD6692" w14:textId="0151A1AF" w:rsidR="00527005" w:rsidRPr="00E12FD1" w:rsidRDefault="00527005" w:rsidP="00E12F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I servizi online</w:t>
      </w:r>
      <w:r w:rsidR="00E12FD1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realizzati dalle piattaforme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comprendono più aree di attività e si estendono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dai servizi infrastrutturali e cloud (servizi di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accesso a Internet; CDN; servizi di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hosting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) ai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software e programmi (sistemi operativi; browser);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dall’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e-commerce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direct</w:t>
      </w:r>
      <w:proofErr w:type="spellEnd"/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retail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) all’intermediazione;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dai motori di ricerca (generici e tramite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assistenza vocale) ai social network generici 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specializzati; dai servizi di messaggistica istantanea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alla pubblicità online; dai video (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video sharing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video streaming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; VOD) ai servizi di geolocalizzazione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e mappe; fino a includere tutti gli altri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servizi di comunicazione (es. e-mail), i sistemi di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pagamento, e i servizi emergenti (es. intelligenza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artificiale, </w:t>
      </w:r>
      <w:r w:rsidRPr="00E12F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quantum computing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7D5ED69" w14:textId="1AF232A4" w:rsidR="00527005" w:rsidRPr="00E12FD1" w:rsidRDefault="00527005" w:rsidP="00D01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color w:val="000000"/>
          <w:sz w:val="24"/>
          <w:szCs w:val="24"/>
        </w:rPr>
        <w:t>Sotto il profilo economico, come già osservato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per il settore della pubblicità online, 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mercati dei servizi in cui operano le piattaforme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online continuano a essere caratterizzati da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un’alta concentrazione, da significative economie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scala e di scopo, nonché dalla presenza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di barriere all’ingresso e, più di frequente, allo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sviluppo. Più specificamente, le piattaforme, per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un verso, a fronte di elevati costi fissi di produzione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del servizio, sostengono per ogni utente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addizionale costi marginali molto bassi o tendenti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allo zero, per altro verso, ottengono risparmi di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costo nell’ampliare la propria presenza in ambiti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adiacenti, potendo sfruttare fattori come le complementarità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tra servizi, la condivisione di tecnologie,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l’incrocio di dati. Inoltre, la possibilità per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le nuove imprese presenti sul mercato di sottrarre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>quote di mercato all’operatore leader è resa</w:t>
      </w:r>
      <w:r w:rsidR="00D01545"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color w:val="000000"/>
          <w:sz w:val="24"/>
          <w:szCs w:val="24"/>
        </w:rPr>
        <w:t xml:space="preserve">difficoltosa da fattori quali la sussistenza di effetti </w:t>
      </w:r>
      <w:r w:rsidRPr="00E12FD1">
        <w:rPr>
          <w:rFonts w:ascii="Times New Roman" w:hAnsi="Times New Roman" w:cs="Times New Roman"/>
          <w:sz w:val="24"/>
          <w:szCs w:val="24"/>
        </w:rPr>
        <w:t>diretti e indiretti di rete - in grado di influenzare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la propensione di consumatori e utenti commerciali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 aderire a una piattaforma - e gli elevati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costi di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switching </w:t>
      </w:r>
      <w:r w:rsidRPr="00E12FD1">
        <w:rPr>
          <w:rFonts w:ascii="Times New Roman" w:hAnsi="Times New Roman" w:cs="Times New Roman"/>
          <w:sz w:val="24"/>
          <w:szCs w:val="24"/>
        </w:rPr>
        <w:t xml:space="preserve">e di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multi-</w:t>
      </w:r>
      <w:proofErr w:type="spellStart"/>
      <w:r w:rsidRPr="00E12FD1">
        <w:rPr>
          <w:rFonts w:ascii="Times New Roman" w:hAnsi="Times New Roman" w:cs="Times New Roman"/>
          <w:i/>
          <w:iCs/>
          <w:sz w:val="24"/>
          <w:szCs w:val="24"/>
        </w:rPr>
        <w:t>homing</w:t>
      </w:r>
      <w:proofErr w:type="spellEnd"/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per gli utenti.</w:t>
      </w:r>
    </w:p>
    <w:p w14:paraId="5DB3EA65" w14:textId="458D33E1" w:rsidR="00527005" w:rsidRPr="00E12FD1" w:rsidRDefault="00527005" w:rsidP="00D01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Tali ostacoli all’espansione dei nuovi concorrenti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sono il risultato dei processi di integrazione</w:t>
      </w:r>
    </w:p>
    <w:p w14:paraId="2C9EC9CE" w14:textId="6DEED944" w:rsidR="00527005" w:rsidRPr="00E12FD1" w:rsidRDefault="00527005" w:rsidP="0052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verticale e differenziazione orizzontale messi in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opera negli anni dalle maggiori piattaforme, della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conseguente disponibilità di una grande massa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dati (acquisiti in considerazione del gran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numero di utenti raggiunti, oltre che del tempo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speso e delle molteplici azioni compiute dagli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stessi), delle dotazioni e reti infrastrutturali di cui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dispongono e che sono difficilmente replicabili,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e degli ingenti investimenti in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asset </w:t>
      </w:r>
      <w:r w:rsidRPr="00E12FD1">
        <w:rPr>
          <w:rFonts w:ascii="Times New Roman" w:hAnsi="Times New Roman" w:cs="Times New Roman"/>
          <w:sz w:val="24"/>
          <w:szCs w:val="24"/>
        </w:rPr>
        <w:t>patrimoniali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 in ricerca e sviluppo.</w:t>
      </w:r>
    </w:p>
    <w:p w14:paraId="0D48CD36" w14:textId="6A01085E" w:rsidR="00527005" w:rsidRPr="00E12FD1" w:rsidRDefault="00527005" w:rsidP="00D01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Le piattaforme di maggiori dimensioni generano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un volume di ricavi in costante crescita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su base globale. Nel 2022, i ricavi conseguiti su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scala mondiale da Alphabet/Google, Amazon,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Apple, M</w:t>
      </w:r>
      <w:r w:rsidR="00462757">
        <w:rPr>
          <w:rFonts w:ascii="Times New Roman" w:hAnsi="Times New Roman" w:cs="Times New Roman"/>
          <w:sz w:val="24"/>
          <w:szCs w:val="24"/>
        </w:rPr>
        <w:t>eta</w:t>
      </w:r>
      <w:r w:rsidRPr="00E12FD1">
        <w:rPr>
          <w:rFonts w:ascii="Times New Roman" w:hAnsi="Times New Roman" w:cs="Times New Roman"/>
          <w:sz w:val="24"/>
          <w:szCs w:val="24"/>
        </w:rPr>
        <w:t>/Facebook e Microsoft aumentano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nel complesso del 9%, superando i 1.500 miliardi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dollari, con un incremento dell’88% rispetto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al 2018.</w:t>
      </w:r>
    </w:p>
    <w:p w14:paraId="46DFD0E9" w14:textId="6E2B220B" w:rsidR="00527005" w:rsidRPr="00E12FD1" w:rsidRDefault="00527005" w:rsidP="00D01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Tra i menzionati servizi online, è opportuno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focalizzare l’attenzione sui motori di ricerca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 i servizi di intermediazione (diversi da quelli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pubblicitari), rispetto ai quali AGCOM ha assunto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dal 2021 le competenze volte ad assicurare l’efficace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applicazione del regolamento Platform to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Business (c.d. regolamento P2B).</w:t>
      </w:r>
    </w:p>
    <w:p w14:paraId="2CABB2F0" w14:textId="77777777" w:rsidR="008925B8" w:rsidRPr="00E12FD1" w:rsidRDefault="00527005" w:rsidP="008925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Relativamente ai motori di ricerca, che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secondo i dati </w:t>
      </w:r>
      <w:proofErr w:type="spellStart"/>
      <w:r w:rsidRPr="00E12FD1">
        <w:rPr>
          <w:rFonts w:ascii="Times New Roman" w:hAnsi="Times New Roman" w:cs="Times New Roman"/>
          <w:sz w:val="24"/>
          <w:szCs w:val="24"/>
        </w:rPr>
        <w:t>Comscore</w:t>
      </w:r>
      <w:proofErr w:type="spellEnd"/>
      <w:r w:rsidRPr="00E12FD1">
        <w:rPr>
          <w:rFonts w:ascii="Times New Roman" w:hAnsi="Times New Roman" w:cs="Times New Roman"/>
          <w:sz w:val="24"/>
          <w:szCs w:val="24"/>
        </w:rPr>
        <w:t>, nel mese medio del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2022, sono stati interrogati in Italia da più del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96% degli utenti unici di Internet, il modello di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business </w:t>
      </w:r>
      <w:r w:rsidRPr="00E12FD1">
        <w:rPr>
          <w:rFonts w:ascii="Times New Roman" w:hAnsi="Times New Roman" w:cs="Times New Roman"/>
          <w:sz w:val="24"/>
          <w:szCs w:val="24"/>
        </w:rPr>
        <w:t>adottato è incentrato fondamentalmente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sulla raccolta pubblicitaria.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FA2ACC" w14:textId="3C156FC3" w:rsidR="00527005" w:rsidRPr="00E12FD1" w:rsidRDefault="00527005" w:rsidP="0089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Per quel che concerne i servizi di intermediazione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online, a ricadere nell’ambito di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applicazione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regolamento P2B sono quelli che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le piattaforme forniscono agli utenti commerciali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per consentire loro di offrire beni e servizi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ai consumatori, facilitando l’avvio di transazioni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d</w:t>
      </w:r>
      <w:r w:rsidRPr="00E12FD1">
        <w:rPr>
          <w:rFonts w:ascii="Times New Roman" w:hAnsi="Times New Roman" w:cs="Times New Roman"/>
          <w:sz w:val="24"/>
          <w:szCs w:val="24"/>
        </w:rPr>
        <w:t xml:space="preserve">irette. Ci si riferisce, </w:t>
      </w:r>
      <w:r w:rsidRPr="00E12FD1">
        <w:rPr>
          <w:rFonts w:ascii="Times New Roman" w:hAnsi="Times New Roman" w:cs="Times New Roman"/>
          <w:sz w:val="24"/>
          <w:szCs w:val="24"/>
        </w:rPr>
        <w:lastRenderedPageBreak/>
        <w:t xml:space="preserve">dunque, a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e-commerce</w:t>
      </w:r>
      <w:r w:rsidR="00D01545"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E12FD1">
        <w:rPr>
          <w:rFonts w:ascii="Times New Roman" w:hAnsi="Times New Roman" w:cs="Times New Roman"/>
          <w:sz w:val="24"/>
          <w:szCs w:val="24"/>
        </w:rPr>
        <w:t xml:space="preserve">;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marketplace </w:t>
      </w:r>
      <w:r w:rsidRPr="00E12FD1">
        <w:rPr>
          <w:rFonts w:ascii="Times New Roman" w:hAnsi="Times New Roman" w:cs="Times New Roman"/>
          <w:sz w:val="24"/>
          <w:szCs w:val="24"/>
        </w:rPr>
        <w:t>specializzati (ad esempio,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nei settori di viaggi e soggiorni; trasporti;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ristorazione e distribuzione pasti; moda; design e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arredamento; intrattenimento;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e-learning</w:t>
      </w:r>
      <w:r w:rsidRPr="00E12FD1">
        <w:rPr>
          <w:rFonts w:ascii="Times New Roman" w:hAnsi="Times New Roman" w:cs="Times New Roman"/>
          <w:sz w:val="24"/>
          <w:szCs w:val="24"/>
        </w:rPr>
        <w:t xml:space="preserve">);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E12FD1">
        <w:rPr>
          <w:rFonts w:ascii="Times New Roman" w:hAnsi="Times New Roman" w:cs="Times New Roman"/>
          <w:sz w:val="24"/>
          <w:szCs w:val="24"/>
        </w:rPr>
        <w:t>,</w:t>
      </w:r>
      <w:r w:rsidR="00D01545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pagine degli utenti commerciali, all’interno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social media (social network, s</w:t>
      </w:r>
      <w:r w:rsidR="008925B8" w:rsidRPr="00E12FD1">
        <w:rPr>
          <w:rFonts w:ascii="Times New Roman" w:hAnsi="Times New Roman" w:cs="Times New Roman"/>
          <w:sz w:val="24"/>
          <w:szCs w:val="24"/>
        </w:rPr>
        <w:t>e</w:t>
      </w:r>
      <w:r w:rsidRPr="00E12FD1">
        <w:rPr>
          <w:rFonts w:ascii="Times New Roman" w:hAnsi="Times New Roman" w:cs="Times New Roman"/>
          <w:sz w:val="24"/>
          <w:szCs w:val="24"/>
        </w:rPr>
        <w:t>rvizi di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messaggistica istantanea, ecc.);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app-store </w:t>
      </w:r>
      <w:r w:rsidRPr="00E12FD1">
        <w:rPr>
          <w:rFonts w:ascii="Times New Roman" w:hAnsi="Times New Roman" w:cs="Times New Roman"/>
          <w:sz w:val="24"/>
          <w:szCs w:val="24"/>
        </w:rPr>
        <w:t>e altri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servizi di intermediazione (inclusi i servizi di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comparazione di prezzi).</w:t>
      </w:r>
    </w:p>
    <w:p w14:paraId="69020DD7" w14:textId="34A192B9" w:rsidR="00527005" w:rsidRPr="00E12FD1" w:rsidRDefault="00527005" w:rsidP="008925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Il numero medio mensile di utenti unici di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siti e app di vendita online (inclusi 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E12FD1">
        <w:rPr>
          <w:rFonts w:ascii="Times New Roman" w:hAnsi="Times New Roman" w:cs="Times New Roman"/>
          <w:sz w:val="24"/>
          <w:szCs w:val="24"/>
        </w:rPr>
        <w:t>)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 il relativo tempo speso in navigazione registrano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un ulteriore incremento rispetto al periodo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precedente, con le piattaforme che occupano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stabilmente i primi posti nei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ranking </w:t>
      </w:r>
      <w:r w:rsidRPr="00E12FD1">
        <w:rPr>
          <w:rFonts w:ascii="Times New Roman" w:hAnsi="Times New Roman" w:cs="Times New Roman"/>
          <w:sz w:val="24"/>
          <w:szCs w:val="24"/>
        </w:rPr>
        <w:t>delle diverse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categorie merceologiche. Molti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="008925B8" w:rsidRPr="00E12F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specializzati (oltre che generici) e piattaforme di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comparazione dei prezzi registrano un volume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fruitori in crescita rispetto al 2021 o comunque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superiore a quello rilevato nel periodo antecedente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alla pandemia. Ad esempio, il numero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visitatori della piattaforma più consultata nel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i/>
          <w:iCs/>
          <w:sz w:val="24"/>
          <w:szCs w:val="24"/>
        </w:rPr>
        <w:t>food delivery</w:t>
      </w:r>
      <w:r w:rsidRPr="00E12FD1">
        <w:rPr>
          <w:rFonts w:ascii="Times New Roman" w:hAnsi="Times New Roman" w:cs="Times New Roman"/>
          <w:sz w:val="24"/>
          <w:szCs w:val="24"/>
        </w:rPr>
        <w:t>, nel mese medio del 2022, aumenta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6% sul 2021 (+26% rispetto al 2019). Cresce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altresì il consumo di siti e app del comparto turistico,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in cui la prima piattaforma segna un incremento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14% degli utenti unici (e del 17%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dei minuti spesi in media nella navigazione). Le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piattaforme di servizi di comparazione di prezzi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si mantengono su valori di fruizione non distanti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da quelli realizzati nei due anni precedenti, essendo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state visitate nel 2022 dal 47% degli utenti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unici di Internet (+7 p.p. rispetto alla media mensile</w:t>
      </w:r>
      <w:r w:rsidR="008925B8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2019).</w:t>
      </w:r>
    </w:p>
    <w:p w14:paraId="514F411C" w14:textId="77777777" w:rsidR="00633F7F" w:rsidRPr="00E12FD1" w:rsidRDefault="00527005" w:rsidP="00633F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 rapporti tra utenti commerciali e piattaforme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forniscono i servizi di intermediazione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sono spesso caratterizzati da una condizione di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dipendenza dei primi rispetto alle seconde, atta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a tradursi in un maggiore potere contrattuale in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capo agli intermediari. Al riguardo, con specifico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riferimento al contesto economico italiano, l’esame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indicatori che attengono all’utilizzo delle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piattaforme consente di disporre di una rappresentazione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 grado di dipendenza dalle stesse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in cui si trovano gli utenti commerciali. </w:t>
      </w:r>
    </w:p>
    <w:p w14:paraId="5EE7580D" w14:textId="46E57CC5" w:rsidR="00527005" w:rsidRPr="00E12FD1" w:rsidRDefault="00527005" w:rsidP="0073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Dai dati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Istat più recenti, raccolti nel 2022 e riferiti all’attività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svolta nell’anno precedente dalle imprese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italiane con almeno 10 addetti, si evince come il 18,3% delle stesse abbia realizzato vendite online,</w:t>
      </w:r>
      <w:r w:rsidR="00633F7F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servendosi sia di canali diretti (cioè, propri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siti e app), sia dell’intermediazione delle piattaforme.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In particolare, considerando il totale delle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imprese attive in tutti i settori di attività che realizzano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vendite sul web, il 62% ha fatto ricorso 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siti e app di intermediazione. Rimane significativa,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sebbene in leggera riduzione, la quota parte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tale percentuale, pari al 26% delle imprese che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vendono online, ascrivibile a utenti commerciali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si avvalgono dell’intermediazione delle piattaforme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come unico canale di vendita sul web.</w:t>
      </w:r>
    </w:p>
    <w:p w14:paraId="46565A24" w14:textId="77777777" w:rsidR="00731A97" w:rsidRPr="00E12FD1" w:rsidRDefault="00527005" w:rsidP="0073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Analizzando più capillarmente l’impiego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dei servizi di intermediazione offerti dalle piattaforme,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si</w:t>
      </w:r>
      <w:r w:rsidRPr="00E12FD1">
        <w:rPr>
          <w:rFonts w:ascii="Times New Roman" w:hAnsi="Times New Roman" w:cs="Times New Roman"/>
          <w:sz w:val="24"/>
          <w:szCs w:val="24"/>
        </w:rPr>
        <w:t xml:space="preserve"> evidenzia come nel 2021 il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fenomeno sia risultato più marcato nei comparti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della ristorazione e degli alloggi, per i quali la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quasi totalità degli utenti commerciali si affida 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intermediari. </w:t>
      </w:r>
    </w:p>
    <w:p w14:paraId="02568E90" w14:textId="77777777" w:rsidR="00731A97" w:rsidRPr="00E12FD1" w:rsidRDefault="00527005" w:rsidP="0073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Per l’esecuzione delle vendite online,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le imprese che operano in questi settori, oltre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nelle costruzioni, nella produzione cinematografica,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di video e di programmi televisivi, di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registrazioni musicali e sonore, nonché nel campo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delle attività professionali, scientifiche e tecniche,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utilizzano più frequentemente le piattaforme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che non i propri siti e applicazioni. In ogni caso,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nella gran parte delle attività economiche, oltre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la metà delle imprese si serve di piattaforme per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vendere i propri prodotti e servizi sul web. </w:t>
      </w:r>
    </w:p>
    <w:p w14:paraId="1181FD37" w14:textId="77777777" w:rsidR="00731A97" w:rsidRPr="00E12FD1" w:rsidRDefault="00527005" w:rsidP="0073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Operando un confronto in ambito internazionale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relativamente al ricorso da parte degli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utenti commerciali all’intermediazione delle piattaforme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per le vendite sul web, si rileva che l’Italia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presenta un tasso stabilmente e nettamente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più alto della media europea. Nel 2021, il dato dell’Italia si mantiene più alto di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18 punti percentuali rispetto a quello mediamente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osservato nei Paesi dell’Unione europea. Ciò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evidenzia l’importanza della tutela che deve essere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garantita all’utenza commerciale e la valenza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determinante che, in tal senso, assume l’operato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dell’Autorità nell’applicazione a livello nazionale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 xml:space="preserve">del regolamento P2B. </w:t>
      </w:r>
    </w:p>
    <w:p w14:paraId="36691B45" w14:textId="0E1458C4" w:rsidR="00527005" w:rsidRPr="00E12FD1" w:rsidRDefault="00527005" w:rsidP="0073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FD1">
        <w:rPr>
          <w:rFonts w:ascii="Times New Roman" w:hAnsi="Times New Roman" w:cs="Times New Roman"/>
          <w:sz w:val="24"/>
          <w:szCs w:val="24"/>
        </w:rPr>
        <w:t>Infine, sotto il profilo del valore delle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vendite generato per gli utenti commerciali da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ordini ricevuti tramite piattaforme online, l’Istat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stima che, nel 2021, esso corrisponde a circa il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15% del fatturato totale derivante dalle vendite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sul web. Valore che continua a incidere in misura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lastRenderedPageBreak/>
        <w:t>preponderante sul fatturato realizzato online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per le imprese dei settori delle costruzioni (76%),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della fabbricazione di computer (74%) e della ristorazione</w:t>
      </w:r>
      <w:r w:rsidR="00731A97" w:rsidRPr="00E12FD1">
        <w:rPr>
          <w:rFonts w:ascii="Times New Roman" w:hAnsi="Times New Roman" w:cs="Times New Roman"/>
          <w:sz w:val="24"/>
          <w:szCs w:val="24"/>
        </w:rPr>
        <w:t xml:space="preserve"> </w:t>
      </w:r>
      <w:r w:rsidRPr="00E12FD1">
        <w:rPr>
          <w:rFonts w:ascii="Times New Roman" w:hAnsi="Times New Roman" w:cs="Times New Roman"/>
          <w:sz w:val="24"/>
          <w:szCs w:val="24"/>
        </w:rPr>
        <w:t>(60%).</w:t>
      </w:r>
    </w:p>
    <w:p w14:paraId="7948061F" w14:textId="77777777" w:rsidR="00527005" w:rsidRDefault="00527005" w:rsidP="00527005">
      <w:pPr>
        <w:autoSpaceDE w:val="0"/>
        <w:autoSpaceDN w:val="0"/>
        <w:adjustRightInd w:val="0"/>
        <w:spacing w:after="0" w:line="240" w:lineRule="auto"/>
        <w:rPr>
          <w:rFonts w:ascii="AGaramond-Bold" w:hAnsi="AGaramond-Bold" w:cs="AGaramond-Bold"/>
          <w:b/>
          <w:bCs/>
          <w:color w:val="FFFFFF"/>
          <w:sz w:val="20"/>
          <w:szCs w:val="20"/>
        </w:rPr>
      </w:pPr>
      <w:r>
        <w:rPr>
          <w:rFonts w:ascii="AGaramond-Bold" w:hAnsi="AGaramond-Bold" w:cs="AGaramond-Bold"/>
          <w:b/>
          <w:bCs/>
          <w:color w:val="FFFFFF"/>
          <w:sz w:val="20"/>
          <w:szCs w:val="20"/>
        </w:rPr>
        <w:t>Grafico 3.1.2 - Ripartizione dei ricavi pubblicitari per mezzo (%, milioni di euro)</w:t>
      </w:r>
    </w:p>
    <w:p w14:paraId="74A995A1" w14:textId="77777777" w:rsidR="00561767" w:rsidRPr="002243EE" w:rsidRDefault="00561767" w:rsidP="00E26B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8959FB" w14:textId="64FADB2A" w:rsidR="00ED661B" w:rsidRPr="002243EE" w:rsidRDefault="00ED661B" w:rsidP="000B6C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D661B" w:rsidRPr="002243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Garamond LT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C1A"/>
    <w:rsid w:val="00016594"/>
    <w:rsid w:val="00021449"/>
    <w:rsid w:val="00041B61"/>
    <w:rsid w:val="00053B81"/>
    <w:rsid w:val="000725A6"/>
    <w:rsid w:val="00080732"/>
    <w:rsid w:val="00081794"/>
    <w:rsid w:val="0008418A"/>
    <w:rsid w:val="00085B72"/>
    <w:rsid w:val="0009177D"/>
    <w:rsid w:val="000B3135"/>
    <w:rsid w:val="000B6CFF"/>
    <w:rsid w:val="00127648"/>
    <w:rsid w:val="001307A0"/>
    <w:rsid w:val="00132170"/>
    <w:rsid w:val="00134CD1"/>
    <w:rsid w:val="00143C66"/>
    <w:rsid w:val="0015591D"/>
    <w:rsid w:val="00181ED9"/>
    <w:rsid w:val="001A55AE"/>
    <w:rsid w:val="001C0C8F"/>
    <w:rsid w:val="00201C48"/>
    <w:rsid w:val="002243EE"/>
    <w:rsid w:val="00235B41"/>
    <w:rsid w:val="00257306"/>
    <w:rsid w:val="0025762D"/>
    <w:rsid w:val="002743E5"/>
    <w:rsid w:val="00296987"/>
    <w:rsid w:val="002A7BFF"/>
    <w:rsid w:val="002B13F5"/>
    <w:rsid w:val="002C101C"/>
    <w:rsid w:val="002C5863"/>
    <w:rsid w:val="002C6029"/>
    <w:rsid w:val="002E2B65"/>
    <w:rsid w:val="003116FA"/>
    <w:rsid w:val="00315A0A"/>
    <w:rsid w:val="00335B77"/>
    <w:rsid w:val="0033674A"/>
    <w:rsid w:val="00346194"/>
    <w:rsid w:val="0037315B"/>
    <w:rsid w:val="00381F2E"/>
    <w:rsid w:val="003B5E88"/>
    <w:rsid w:val="003E5599"/>
    <w:rsid w:val="00422C64"/>
    <w:rsid w:val="00427DE9"/>
    <w:rsid w:val="00433170"/>
    <w:rsid w:val="00462757"/>
    <w:rsid w:val="00477F43"/>
    <w:rsid w:val="004B6DCA"/>
    <w:rsid w:val="004C266E"/>
    <w:rsid w:val="004C31C8"/>
    <w:rsid w:val="004D04A6"/>
    <w:rsid w:val="004D1D5B"/>
    <w:rsid w:val="004D4F73"/>
    <w:rsid w:val="004E495E"/>
    <w:rsid w:val="00527005"/>
    <w:rsid w:val="00542246"/>
    <w:rsid w:val="00561767"/>
    <w:rsid w:val="005831D3"/>
    <w:rsid w:val="00584930"/>
    <w:rsid w:val="005938A3"/>
    <w:rsid w:val="005C177C"/>
    <w:rsid w:val="005D695D"/>
    <w:rsid w:val="005F0080"/>
    <w:rsid w:val="00633F7F"/>
    <w:rsid w:val="00643717"/>
    <w:rsid w:val="006703EA"/>
    <w:rsid w:val="006A5576"/>
    <w:rsid w:val="006D55C1"/>
    <w:rsid w:val="006F095D"/>
    <w:rsid w:val="006F7F3F"/>
    <w:rsid w:val="00731A97"/>
    <w:rsid w:val="00761763"/>
    <w:rsid w:val="00786EB7"/>
    <w:rsid w:val="007949E7"/>
    <w:rsid w:val="007A47E4"/>
    <w:rsid w:val="007B6C81"/>
    <w:rsid w:val="007C6D07"/>
    <w:rsid w:val="007D6AA8"/>
    <w:rsid w:val="007E0DA7"/>
    <w:rsid w:val="007E1FC4"/>
    <w:rsid w:val="007F6895"/>
    <w:rsid w:val="00827A9E"/>
    <w:rsid w:val="00831C1F"/>
    <w:rsid w:val="008426B1"/>
    <w:rsid w:val="00877BDE"/>
    <w:rsid w:val="00882EE6"/>
    <w:rsid w:val="008925B8"/>
    <w:rsid w:val="00901476"/>
    <w:rsid w:val="0091374D"/>
    <w:rsid w:val="009149BA"/>
    <w:rsid w:val="00923B17"/>
    <w:rsid w:val="00954591"/>
    <w:rsid w:val="009B1465"/>
    <w:rsid w:val="009B3844"/>
    <w:rsid w:val="009F233C"/>
    <w:rsid w:val="00A226DE"/>
    <w:rsid w:val="00A55FA6"/>
    <w:rsid w:val="00A564CD"/>
    <w:rsid w:val="00A57D0B"/>
    <w:rsid w:val="00A832F9"/>
    <w:rsid w:val="00A95E62"/>
    <w:rsid w:val="00AA2E6B"/>
    <w:rsid w:val="00AB3868"/>
    <w:rsid w:val="00B45902"/>
    <w:rsid w:val="00B536CC"/>
    <w:rsid w:val="00B8556A"/>
    <w:rsid w:val="00B860B7"/>
    <w:rsid w:val="00BA0D90"/>
    <w:rsid w:val="00C20FFE"/>
    <w:rsid w:val="00C5106E"/>
    <w:rsid w:val="00C6115C"/>
    <w:rsid w:val="00C85394"/>
    <w:rsid w:val="00CB1366"/>
    <w:rsid w:val="00CB48D8"/>
    <w:rsid w:val="00CE3C04"/>
    <w:rsid w:val="00D01545"/>
    <w:rsid w:val="00D11998"/>
    <w:rsid w:val="00D276BA"/>
    <w:rsid w:val="00D40047"/>
    <w:rsid w:val="00D537D1"/>
    <w:rsid w:val="00D569E6"/>
    <w:rsid w:val="00D6420F"/>
    <w:rsid w:val="00D930C1"/>
    <w:rsid w:val="00D95081"/>
    <w:rsid w:val="00DE32F6"/>
    <w:rsid w:val="00E12FD1"/>
    <w:rsid w:val="00E26BF9"/>
    <w:rsid w:val="00E35EEE"/>
    <w:rsid w:val="00E440B8"/>
    <w:rsid w:val="00E65C3B"/>
    <w:rsid w:val="00E732D4"/>
    <w:rsid w:val="00EB07E5"/>
    <w:rsid w:val="00EC3B53"/>
    <w:rsid w:val="00ED661B"/>
    <w:rsid w:val="00F017F6"/>
    <w:rsid w:val="00F11BA7"/>
    <w:rsid w:val="00F16633"/>
    <w:rsid w:val="00F40F4D"/>
    <w:rsid w:val="00F455A9"/>
    <w:rsid w:val="00F759D6"/>
    <w:rsid w:val="00F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7ABB"/>
  <w15:docId w15:val="{AA65D365-6E06-4D1B-9C00-76DFA7D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4C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868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11BA7"/>
    <w:pPr>
      <w:spacing w:after="0" w:line="240" w:lineRule="auto"/>
    </w:pPr>
  </w:style>
  <w:style w:type="character" w:customStyle="1" w:styleId="A2">
    <w:name w:val="A2"/>
    <w:uiPriority w:val="99"/>
    <w:rsid w:val="00053B81"/>
    <w:rPr>
      <w:rFonts w:cs="ITC Garamond LT Ligh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Manuguerra Antonio</cp:lastModifiedBy>
  <cp:revision>2</cp:revision>
  <dcterms:created xsi:type="dcterms:W3CDTF">2024-10-23T10:22:00Z</dcterms:created>
  <dcterms:modified xsi:type="dcterms:W3CDTF">2024-10-23T10:22:00Z</dcterms:modified>
</cp:coreProperties>
</file>